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24" w:type="dxa"/>
        <w:jc w:val="center"/>
        <w:tblInd w:w="-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1"/>
        <w:gridCol w:w="1588"/>
        <w:gridCol w:w="1261"/>
        <w:gridCol w:w="1155"/>
        <w:gridCol w:w="1560"/>
        <w:gridCol w:w="20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9224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信阳师范学院确定发展对象“双评”表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单位/班级</w:t>
            </w:r>
          </w:p>
        </w:tc>
        <w:tc>
          <w:tcPr>
            <w:tcW w:w="40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所在支部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名称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5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4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确定入党积极分子时间</w:t>
            </w:r>
          </w:p>
        </w:tc>
        <w:tc>
          <w:tcPr>
            <w:tcW w:w="47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92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本人思想、工作、生活等方面情况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22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2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0" w:hRule="atLeast"/>
          <w:jc w:val="center"/>
        </w:trPr>
        <w:tc>
          <w:tcPr>
            <w:tcW w:w="92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评议时间</w:t>
            </w:r>
          </w:p>
        </w:tc>
        <w:tc>
          <w:tcPr>
            <w:tcW w:w="75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3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参加评议党员数</w:t>
            </w:r>
          </w:p>
        </w:tc>
        <w:tc>
          <w:tcPr>
            <w:tcW w:w="2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参加评议群众数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评议等次</w:t>
            </w: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优秀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票数</w:t>
            </w: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评议结果</w:t>
            </w:r>
          </w:p>
        </w:tc>
        <w:tc>
          <w:tcPr>
            <w:tcW w:w="75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9224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  <w:t>注：参加评议的党员应超过支部党员总数的半数。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  <w:t>参加评议的群众数一般应不低于到会党员总数的2/3。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480" w:firstLineChars="14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党支部书记签字：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165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分党委(党总支)书记签字：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165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分党委(党总支)盖章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65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</w:tbl>
    <w:p/>
    <w:sectPr>
      <w:pgSz w:w="11906" w:h="16838"/>
      <w:pgMar w:top="1134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C20C95"/>
    <w:rsid w:val="737B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相信未来1421029102</cp:lastModifiedBy>
  <dcterms:modified xsi:type="dcterms:W3CDTF">2018-09-19T02:01:17Z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